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LaTeX</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r>
              <w:rPr>
                <w:b/>
                <w:bCs/>
              </w:rPr>
              <w:t xml:space="preserve">Introduction</w:t>
            </w:r>
          </w:p>
          <w:p>
            <w:pPr>
              <w:pStyle w:val="BodyText"/>
            </w:pPr>
            <w:pPr>
              <w:spacing w:before="16" w:after="16"/>
            </w:pPr>
            <w:r>
              <w:t xml:space="preserve">Welcome to the LaTeX information page! Here, you will find general information about LaTeX. LaTeX is a language for mathematical typesetting that is commonly used for documentation and writing mathematic formulas in academic papers.</w:t>
            </w:r>
          </w:p>
        </w:tc>
      </w:tr>
    </w:tbl>
    <w:bookmarkStart w:id="10" w:name="download-latex"/>
    <w:p>
      <w:pPr>
        <w:pStyle w:val="Heading1"/>
      </w:pPr>
      <w:r>
        <w:t xml:space="preserve">Download LaTeX</w:t>
      </w:r>
    </w:p>
    <w:p>
      <w:pPr>
        <w:pStyle w:val="FirstParagraph"/>
      </w:pPr>
      <w:r>
        <w:t xml:space="preserve">The link to the LaTeX official website is below. Follow the instructions here to start the download process.</w:t>
      </w:r>
      <w:r>
        <w:t xml:space="preserve"> </w:t>
      </w:r>
      <w:hyperlink r:id="rId9">
        <w:r>
          <w:rPr>
            <w:rStyle w:val="Hyperlink"/>
          </w:rPr>
          <w:t xml:space="preserve">https://www.latex-project.org/get/</w:t>
        </w:r>
      </w:hyperlink>
      <w:r>
        <w:br/>
      </w:r>
      <w:r>
        <w:t xml:space="preserve">In addition to the language itself, it is highly recommended that you use an LaTeX editor such as Overleaf or Texstudio Q for easier usage of the language.</w:t>
      </w:r>
    </w:p>
    <w:bookmarkEnd w:id="10"/>
    <w:bookmarkStart w:id="11" w:name="X731a88b5c2d1c21e51e3b61137173f732192118"/>
    <w:p>
      <w:pPr>
        <w:pStyle w:val="Heading1"/>
      </w:pPr>
      <w:r>
        <w:t xml:space="preserve">Why do we use LaTeX and what can LaTeX do?</w:t>
      </w:r>
    </w:p>
    <w:p>
      <w:pPr>
        <w:pStyle w:val="FirstParagraph"/>
      </w:pPr>
      <w:r>
        <w:t xml:space="preserve">LaTeX can be used to produce documents with precise formatting. This is very helpful for your future research papers or presentations. It can also be handy in creating complex yet professional-looking mathematical formulas. Here is an example:</w:t>
      </w:r>
    </w:p>
    <w:p>
      <w:pPr>
        <w:pStyle w:val="BodyText"/>
      </w:pPr>
      <m:oMathPara>
        <m:oMathParaPr>
          <m:jc m:val="center"/>
        </m:oMathParaPr>
        <m:oMath>
          <m:r>
            <m:t>x</m:t>
          </m:r>
          <m:r>
            <m:rPr>
              <m:sty m:val="p"/>
            </m:rPr>
            <m:t>=</m:t>
          </m:r>
          <m:f>
            <m:fPr>
              <m:type m:val="bar"/>
            </m:fPr>
            <m:num>
              <m:r>
                <m:rPr>
                  <m:sty m:val="p"/>
                </m:rPr>
                <m:t>−</m:t>
              </m:r>
              <m:r>
                <m:t>b</m:t>
              </m:r>
              <m:r>
                <m:rPr>
                  <m:sty m:val="p"/>
                </m:rPr>
                <m:t>±</m:t>
              </m:r>
              <m:rad>
                <m:radPr>
                  <m:degHide m:val="on"/>
                </m:radPr>
                <m:deg/>
                <m:e>
                  <m:sSup>
                    <m:e>
                      <m:r>
                        <m:t>b</m:t>
                      </m:r>
                    </m:e>
                    <m:sup>
                      <m:r>
                        <m:t>2</m:t>
                      </m:r>
                    </m:sup>
                  </m:sSup>
                  <m:r>
                    <m:rPr>
                      <m:sty m:val="p"/>
                    </m:rPr>
                    <m:t>−</m:t>
                  </m:r>
                  <m:r>
                    <m:t>4</m:t>
                  </m:r>
                  <m:r>
                    <m:t>a</m:t>
                  </m:r>
                  <m:r>
                    <m:t>c</m:t>
                  </m:r>
                </m:e>
              </m:rad>
            </m:num>
            <m:den>
              <m:r>
                <m:t>2</m:t>
              </m:r>
              <m:r>
                <m:t>a</m:t>
              </m:r>
            </m:den>
          </m:f>
        </m:oMath>
      </m:oMathPara>
    </w:p>
    <w:bookmarkEnd w:id="11"/>
    <w:bookmarkStart w:id="15" w:name="document-classes-and-packages-in-latex"/>
    <w:p>
      <w:pPr>
        <w:pStyle w:val="Heading1"/>
      </w:pPr>
      <w:r>
        <w:t xml:space="preserve">Document classes and packages in LaTeX</w:t>
      </w:r>
    </w:p>
    <w:p>
      <w:pPr>
        <w:pStyle w:val="FirstParagraph"/>
      </w:pPr>
      <w:r>
        <w:t xml:space="preserve">LaTeX uses document classes to create documents. These classes usually include article, book, report, letter, and more.</w:t>
      </w:r>
    </w:p>
    <w:p>
      <w:pPr>
        <w:pStyle w:val="BodyText"/>
      </w:pPr>
      <w:r>
        <w:t xml:space="preserve">Here is an example piece of code for declaring an article class.</w:t>
      </w:r>
      <w:r>
        <w:t xml:space="preserve"> </w:t>
      </w:r>
      <w:r>
        <w:t xml:space="preserve">You can always add features such as text size, paper size, etc in the options brackets.</w:t>
      </w:r>
      <w:r>
        <w:t xml:space="preserve"> </w:t>
      </w:r>
      <w:r>
        <w:rPr>
          <w:rStyle w:val="VerbatimChar"/>
        </w:rPr>
        <w:t xml:space="preserve">"\documentclass[options]{article}"</w:t>
      </w:r>
      <w:r>
        <w:br/>
      </w:r>
      <w:r>
        <w:rPr>
          <w:rStyle w:val="VerbatimChar"/>
        </w:rPr>
        <w:t xml:space="preserve">"\begin{document}"</w:t>
      </w:r>
      <w:r>
        <w:br/>
      </w:r>
      <w:r>
        <w:t xml:space="preserve">(Put your text in this section!)</w:t>
      </w:r>
      <w:r>
        <w:br/>
      </w:r>
      <w:r>
        <w:rPr>
          <w:rStyle w:val="VerbatimChar"/>
        </w:rPr>
        <w:t xml:space="preserve">"\end{document}"</w:t>
      </w:r>
    </w:p>
    <w:bookmarkStart w:id="12" w:name="algorithm"/>
    <w:p>
      <w:pPr>
        <w:pStyle w:val="Heading2"/>
      </w:pPr>
      <w:r>
        <w:t xml:space="preserve">Algorithm</w:t>
      </w:r>
    </w:p>
    <w:p>
      <w:pPr>
        <w:pStyle w:val="FirstParagraph"/>
      </w:pPr>
      <w:r>
        <w:t xml:space="preserve">In addition to those classes, LaTeX also has some more specialized packages like</w:t>
      </w:r>
      <w:r>
        <w:t xml:space="preserve"> </w:t>
      </w:r>
      <w:r>
        <w:t xml:space="preserve">“algorithm”</w:t>
      </w:r>
      <w:r>
        <w:t xml:space="preserve">.</w:t>
      </w:r>
      <w:r>
        <w:t xml:space="preserve"> </w:t>
      </w:r>
      <w:r>
        <w:t xml:space="preserve">“Algorithm”</w:t>
      </w:r>
      <w:r>
        <w:t xml:space="preserve"> </w:t>
      </w:r>
      <w:r>
        <w:t xml:space="preserve">is a commonly used package that provides an environment for formatting pseudo-code.</w:t>
      </w:r>
    </w:p>
    <w:p>
      <w:pPr>
        <w:pStyle w:val="BodyText"/>
      </w:pPr>
      <w:r>
        <w:t xml:space="preserve">Below is the syntax for declaring an algorithmic section in your document.</w:t>
      </w:r>
      <w:r>
        <w:br/>
      </w:r>
      <w:r>
        <w:rPr>
          <w:rStyle w:val="VerbatimChar"/>
        </w:rPr>
        <w:t xml:space="preserve">"\begin{algorithmic}"</w:t>
      </w:r>
      <w:r>
        <w:br/>
      </w:r>
      <w:r>
        <w:t xml:space="preserve">(Put your code in this section!)</w:t>
      </w:r>
      <w:r>
        <w:br/>
      </w:r>
      <w:r>
        <w:rPr>
          <w:rStyle w:val="VerbatimChar"/>
        </w:rPr>
        <w:t xml:space="preserve">"\end{algorithmic}"</w:t>
      </w:r>
    </w:p>
    <w:bookmarkEnd w:id="12"/>
    <w:bookmarkStart w:id="13" w:name="beamer"/>
    <w:p>
      <w:pPr>
        <w:pStyle w:val="Heading2"/>
      </w:pPr>
      <w:r>
        <w:t xml:space="preserve">Beamer</w:t>
      </w:r>
    </w:p>
    <w:p>
      <w:pPr>
        <w:pStyle w:val="FirstParagraph"/>
      </w:pPr>
      <w:r>
        <w:t xml:space="preserve">Another useful class in LaTeX is</w:t>
      </w:r>
      <w:r>
        <w:t xml:space="preserve"> </w:t>
      </w:r>
      <w:r>
        <w:t xml:space="preserve">“beamer.”</w:t>
      </w:r>
      <w:r>
        <w:t xml:space="preserve"> </w:t>
      </w:r>
      <w:r>
        <w:t xml:space="preserve">This document is for presentation.</w:t>
      </w:r>
      <w:r>
        <w:br/>
      </w:r>
      <w:r>
        <w:t xml:space="preserve">Note: beamer class have a unique syntax in which you will need to declare each frame for presentation, below is an example:</w:t>
      </w:r>
      <w:r>
        <w:br/>
      </w:r>
      <w:r>
        <w:rPr>
          <w:rStyle w:val="VerbatimChar"/>
        </w:rPr>
        <w:t xml:space="preserve">"\documentclass{beamer}"</w:t>
      </w:r>
      <w:r>
        <w:br/>
      </w:r>
      <w:r>
        <w:rPr>
          <w:rStyle w:val="VerbatimChar"/>
        </w:rPr>
        <w:t xml:space="preserve">"\begin{document}"</w:t>
      </w:r>
      <w:r>
        <w:br/>
      </w:r>
      <w:r>
        <w:rPr>
          <w:rStyle w:val="VerbatimChar"/>
        </w:rPr>
        <w:t xml:space="preserve">"\frame{\FirstPage}"</w:t>
      </w:r>
      <w:r>
        <w:br/>
      </w:r>
      <w:r>
        <w:rPr>
          <w:rStyle w:val="VerbatimChar"/>
        </w:rPr>
        <w:t xml:space="preserve">"\begin{frame}"</w:t>
      </w:r>
      <w:r>
        <w:br/>
      </w:r>
      <w:r>
        <w:t xml:space="preserve">(Put your presentation in here!)</w:t>
      </w:r>
      <w:r>
        <w:br/>
      </w:r>
      <w:r>
        <w:rPr>
          <w:rStyle w:val="VerbatimChar"/>
        </w:rPr>
        <w:t xml:space="preserve">"\end{frame}"</w:t>
      </w:r>
      <w:r>
        <w:br/>
      </w:r>
      <w:r>
        <w:rPr>
          <w:rStyle w:val="VerbatimChar"/>
        </w:rPr>
        <w:t xml:space="preserve">"\end{document}"</w:t>
      </w:r>
    </w:p>
    <w:bookmarkEnd w:id="13"/>
    <w:bookmarkStart w:id="14" w:name="X313cd30f9cac16fb52cabef459d26f116fcfd2c"/>
    <w:p>
      <w:pPr>
        <w:pStyle w:val="Heading2"/>
      </w:pPr>
      <w:r>
        <w:t xml:space="preserve">Tables for basic types of classes and their function</w:t>
      </w:r>
    </w:p>
    <w:p>
      <w:pPr>
        <w:pStyle w:val="TableCaption"/>
      </w:pPr>
      <w:r>
        <w:t xml:space="preserve">Latex classes and functions</w:t>
      </w:r>
    </w:p>
    <w:tbl>
      <w:tblPr>
        <w:tblStyle w:val="Table"/>
        <w:tblW w:type="pct" w:w="5000"/>
        <w:tblLayout w:type="fixed"/>
        <w:tblLook w:firstRow="1" w:lastRow="0" w:firstColumn="0" w:lastColumn="0" w:noHBand="0" w:noVBand="0" w:val="0020"/>
        <w:tblCaption w:val="Latex classes and functions"/>
      </w:tblPr>
      <w:tblGrid>
        <w:gridCol w:w="4752"/>
        <w:gridCol w:w="3168"/>
      </w:tblGrid>
      <w:tr>
        <w:trPr>
          <w:tblHeader w:val="on"/>
        </w:trPr>
        <w:tc>
          <w:tcPr/>
          <w:p>
            <w:pPr>
              <w:pStyle w:val="Compact"/>
            </w:pPr>
            <w:r>
              <w:t xml:space="preserve">document classes</w:t>
            </w:r>
          </w:p>
        </w:tc>
        <w:tc>
          <w:tcPr/>
          <w:p>
            <w:pPr>
              <w:pStyle w:val="Compact"/>
              <w:jc w:val="left"/>
            </w:pPr>
            <w:r>
              <w:t xml:space="preserve">function</w:t>
            </w:r>
          </w:p>
        </w:tc>
      </w:tr>
      <w:tr>
        <w:tc>
          <w:tcPr/>
          <w:p>
            <w:pPr>
              <w:pStyle w:val="Compact"/>
            </w:pPr>
            <w:r>
              <w:t xml:space="preserve">article</w:t>
            </w:r>
          </w:p>
        </w:tc>
        <w:tc>
          <w:tcPr/>
          <w:p>
            <w:pPr>
              <w:pStyle w:val="Compact"/>
              <w:jc w:val="left"/>
            </w:pPr>
            <w:r>
              <w:t xml:space="preserve">articles in scientific journals, presentations, short reports</w:t>
            </w:r>
          </w:p>
        </w:tc>
      </w:tr>
      <w:tr>
        <w:tc>
          <w:tcPr/>
          <w:p>
            <w:pPr>
              <w:pStyle w:val="Compact"/>
            </w:pPr>
            <w:r>
              <w:t xml:space="preserve">book</w:t>
            </w:r>
          </w:p>
        </w:tc>
        <w:tc>
          <w:tcPr/>
          <w:p>
            <w:pPr>
              <w:pStyle w:val="Compact"/>
              <w:jc w:val="left"/>
            </w:pPr>
            <w:r>
              <w:t xml:space="preserve">books</w:t>
            </w:r>
          </w:p>
        </w:tc>
      </w:tr>
      <w:tr>
        <w:tc>
          <w:tcPr/>
          <w:p>
            <w:pPr>
              <w:pStyle w:val="Compact"/>
            </w:pPr>
            <w:r>
              <w:t xml:space="preserve">beamer</w:t>
            </w:r>
          </w:p>
        </w:tc>
        <w:tc>
          <w:tcPr/>
          <w:p>
            <w:pPr>
              <w:pStyle w:val="Compact"/>
              <w:jc w:val="left"/>
            </w:pPr>
            <w:r>
              <w:t xml:space="preserve">presentations</w:t>
            </w:r>
          </w:p>
        </w:tc>
      </w:tr>
      <w:tr>
        <w:tc>
          <w:tcPr/>
          <w:p>
            <w:pPr>
              <w:pStyle w:val="Compact"/>
            </w:pPr>
            <w:r>
              <w:t xml:space="preserve">report</w:t>
            </w:r>
          </w:p>
        </w:tc>
        <w:tc>
          <w:tcPr/>
          <w:p>
            <w:pPr>
              <w:pStyle w:val="Compact"/>
              <w:jc w:val="left"/>
            </w:pPr>
            <w:r>
              <w:t xml:space="preserve">long reports contain multiple chapters</w:t>
            </w:r>
          </w:p>
        </w:tc>
      </w:tr>
      <w:tr>
        <w:tc>
          <w:tcPr/>
          <w:p>
            <w:pPr>
              <w:pStyle w:val="Compact"/>
            </w:pPr>
            <w:r>
              <w:t xml:space="preserve">slides</w:t>
            </w:r>
          </w:p>
        </w:tc>
        <w:tc>
          <w:tcPr/>
          <w:p>
            <w:pPr>
              <w:pStyle w:val="Compact"/>
              <w:jc w:val="left"/>
            </w:pPr>
            <w:r>
              <w:t xml:space="preserve">sildes</w:t>
            </w:r>
          </w:p>
        </w:tc>
      </w:tr>
    </w:tbl>
    <w:bookmarkEnd w:id="14"/>
    <w:bookmarkEnd w:id="15"/>
    <w:bookmarkStart w:id="20" w:name="mathematic-expressions"/>
    <w:p>
      <w:pPr>
        <w:pStyle w:val="Heading1"/>
      </w:pPr>
      <w:r>
        <w:t xml:space="preserve">Mathematic Expressions</w:t>
      </w:r>
    </w:p>
    <w:bookmarkStart w:id="16" w:name="basic-syntax-for-inline-math-formula"/>
    <w:p>
      <w:pPr>
        <w:pStyle w:val="Heading2"/>
      </w:pPr>
      <w:r>
        <w:t xml:space="preserve">Basic syntax for inline math formula</w:t>
      </w:r>
    </w:p>
    <w:p>
      <w:pPr>
        <w:pStyle w:val="FirstParagraph"/>
      </w:pPr>
      <w:r>
        <w:t xml:space="preserve">To use an inline math formula for LaTeX, you can use the following syntax:</w:t>
      </w:r>
      <w:r>
        <w:br/>
      </w:r>
      <w:r>
        <w:rPr>
          <w:rStyle w:val="VerbatimChar"/>
        </w:rPr>
        <w:t xml:space="preserve">"\(...\)"</w:t>
      </w:r>
      <w:r>
        <w:br/>
      </w:r>
      <w:r>
        <w:rPr>
          <w:rStyle w:val="VerbatimChar"/>
        </w:rPr>
        <w:t xml:space="preserve">"$...$"</w:t>
      </w:r>
      <w:r>
        <w:br/>
      </w:r>
      <w:r>
        <w:rPr>
          <w:rStyle w:val="VerbatimChar"/>
        </w:rPr>
        <w:t xml:space="preserve">"\begin{math}...\end{math}"</w:t>
      </w:r>
    </w:p>
    <w:bookmarkEnd w:id="16"/>
    <w:bookmarkStart w:id="17" w:name="write-mathematical-formula"/>
    <w:p>
      <w:pPr>
        <w:pStyle w:val="Heading2"/>
      </w:pPr>
      <w:r>
        <w:t xml:space="preserve">Write mathematical formula</w:t>
      </w:r>
    </w:p>
    <w:p>
      <w:pPr>
        <w:pStyle w:val="FirstParagraph"/>
      </w:pPr>
      <w:r>
        <w:t xml:space="preserve">Mathematical equations can be formed using mathbf. Here is an example:</w:t>
      </w:r>
      <w:r>
        <w:br/>
      </w:r>
      <w:r>
        <w:rPr>
          <w:rStyle w:val="VerbatimChar"/>
        </w:rPr>
        <w:t xml:space="preserve">"[latex]\mathbf{\alpha+\beta}[/latex]"</w:t>
      </w:r>
      <w:r>
        <w:br/>
      </w:r>
    </w:p>
    <w:p>
      <w:pPr>
        <w:pStyle w:val="BodyText"/>
      </w:pPr>
      <m:oMathPara>
        <m:oMathParaPr>
          <m:jc m:val="center"/>
        </m:oMathParaPr>
        <m:oMath>
          <m:r>
            <m:rPr>
              <m:sty m:val="bi"/>
            </m:rPr>
            <m:t>α</m:t>
          </m:r>
          <m:r>
            <m:rPr>
              <m:sty m:val="b"/>
            </m:rPr>
            <m:t>+</m:t>
          </m:r>
          <m:r>
            <m:rPr>
              <m:sty m:val="bi"/>
            </m:rPr>
            <m:t>β</m:t>
          </m:r>
        </m:oMath>
      </m:oMathPara>
    </w:p>
    <w:bookmarkEnd w:id="17"/>
    <w:bookmarkStart w:id="18" w:name="matrix-vector-tensor"/>
    <w:p>
      <w:pPr>
        <w:pStyle w:val="Heading2"/>
      </w:pPr>
      <w:r>
        <w:t xml:space="preserve">Matrix, vector, tensor</w:t>
      </w:r>
    </w:p>
    <w:p>
      <w:pPr>
        <w:pStyle w:val="FirstParagraph"/>
      </w:pPr>
      <w:r>
        <w:t xml:space="preserve">Example code for a matrix:</w:t>
      </w:r>
      <w:r>
        <w:br/>
      </w:r>
      <w:r>
        <w:rPr>
          <w:rStyle w:val="VerbatimChar"/>
        </w:rPr>
        <w:t xml:space="preserve">"\begin{matrix}"</w:t>
      </w:r>
      <w:r>
        <w:br/>
      </w:r>
      <w:r>
        <w:rPr>
          <w:rStyle w:val="VerbatimChar"/>
        </w:rPr>
        <w:t xml:space="preserve">"1 &amp; 2 &amp; 3\\"</w:t>
      </w:r>
      <w:r>
        <w:br/>
      </w:r>
      <w:r>
        <w:rPr>
          <w:rStyle w:val="VerbatimChar"/>
        </w:rPr>
        <w:t xml:space="preserve">"a &amp; b &amp; c"</w:t>
      </w:r>
      <w:r>
        <w:br/>
      </w:r>
      <w:r>
        <w:rPr>
          <w:rStyle w:val="VerbatimChar"/>
        </w:rPr>
        <w:t xml:space="preserve">"\end{matrix}"</w:t>
      </w:r>
      <w:r>
        <w:br/>
      </w:r>
    </w:p>
    <w:p>
      <w:pPr>
        <w:pStyle w:val="BodyText"/>
      </w:pPr>
      <m:oMathPara>
        <m:oMathParaPr>
          <m:jc m:val="center"/>
        </m:oMathParaPr>
        <m:oMath>
          <m:m>
            <m:mPr>
              <m:baseJc m:val="center"/>
              <m:plcHide m:val="on"/>
              <m:mcs>
                <m:mc>
                  <m:mcPr>
                    <m:mcJc m:val="center"/>
                    <m:count m:val="1"/>
                  </m:mcPr>
                </m:mc>
                <m:mc>
                  <m:mcPr>
                    <m:mcJc m:val="center"/>
                    <m:count m:val="1"/>
                  </m:mcPr>
                </m:mc>
                <m:mc>
                  <m:mcPr>
                    <m:mcJc m:val="center"/>
                    <m:count m:val="1"/>
                  </m:mcPr>
                </m:mc>
              </m:mcs>
            </m:mPr>
            <m:mr>
              <m:e>
                <m:r>
                  <m:t>1</m:t>
                </m:r>
              </m:e>
              <m:e>
                <m:r>
                  <m:t>2</m:t>
                </m:r>
              </m:e>
              <m:e>
                <m:r>
                  <m:t>3</m:t>
                </m:r>
              </m:e>
            </m:mr>
            <m:mr>
              <m:e>
                <m:r>
                  <m:t>a</m:t>
                </m:r>
              </m:e>
              <m:e>
                <m:r>
                  <m:t>b</m:t>
                </m:r>
              </m:e>
              <m:e>
                <m:r>
                  <m:t>c</m:t>
                </m:r>
              </m:e>
            </m:mr>
          </m:m>
        </m:oMath>
      </m:oMathPara>
    </w:p>
    <w:p>
      <w:pPr>
        <w:pStyle w:val="FirstParagraph"/>
      </w:pPr>
      <w:r>
        <w:t xml:space="preserve">Example code for a vector:</w:t>
      </w:r>
      <w:r>
        <w:br/>
      </w:r>
      <w:r>
        <w:rPr>
          <w:rStyle w:val="VerbatimChar"/>
        </w:rPr>
        <w:t xml:space="preserve">"\mathbf{Z} = \mathbf{X} + \mathbf{Y}"</w:t>
      </w:r>
      <w:r>
        <w:br/>
      </w:r>
    </w:p>
    <w:p>
      <w:pPr>
        <w:pStyle w:val="BodyText"/>
      </w:pPr>
      <m:oMathPara>
        <m:oMathParaPr>
          <m:jc m:val="center"/>
        </m:oMathParaPr>
        <m:oMath>
          <m:r>
            <m:rPr>
              <m:sty m:val="bi"/>
            </m:rPr>
            <m:t>Z</m:t>
          </m:r>
          <m:r>
            <m:rPr>
              <m:sty m:val="p"/>
            </m:rPr>
            <m:t>=</m:t>
          </m:r>
          <m:r>
            <m:rPr>
              <m:sty m:val="bi"/>
            </m:rPr>
            <m:t>X</m:t>
          </m:r>
          <m:r>
            <m:rPr>
              <m:sty m:val="p"/>
            </m:rPr>
            <m:t>+</m:t>
          </m:r>
          <m:r>
            <m:rPr>
              <m:sty m:val="bi"/>
            </m:rPr>
            <m:t>Y</m:t>
          </m:r>
        </m:oMath>
      </m:oMathPara>
    </w:p>
    <w:p>
      <w:pPr>
        <w:pStyle w:val="FirstParagraph"/>
      </w:pPr>
      <w:r>
        <w:t xml:space="preserve">Example code for a tensor:</w:t>
      </w:r>
      <w:r>
        <w:br/>
      </w:r>
      <w:r>
        <w:rPr>
          <w:rStyle w:val="VerbatimChar"/>
        </w:rPr>
        <w:t xml:space="preserve">"\sum_{i=1}^n X^i Y^{1-i}"</w:t>
      </w:r>
      <w:r>
        <w:br/>
      </w:r>
    </w:p>
    <w:p>
      <w:pPr>
        <w:pStyle w:val="BodyText"/>
      </w:pPr>
      <m:oMathPara>
        <m:oMathParaPr>
          <m:jc m:val="center"/>
        </m:oMathParaPr>
        <m:oMath>
          <m:nary>
            <m:naryPr>
              <m:chr m:val="∑"/>
              <m:limLoc m:val="undOvr"/>
              <m:subHide m:val="off"/>
              <m:supHide m:val="off"/>
            </m:naryPr>
            <m:sub>
              <m:r>
                <m:t>i</m:t>
              </m:r>
              <m:r>
                <m:rPr>
                  <m:sty m:val="p"/>
                </m:rPr>
                <m:t>=</m:t>
              </m:r>
              <m:r>
                <m:t>1</m:t>
              </m:r>
            </m:sub>
            <m:sup>
              <m:r>
                <m:t>n</m:t>
              </m:r>
            </m:sup>
            <m:e>
              <m:sSup>
                <m:e>
                  <m:r>
                    <m:t>X</m:t>
                  </m:r>
                </m:e>
                <m:sup>
                  <m:r>
                    <m:t>i</m:t>
                  </m:r>
                </m:sup>
              </m:sSup>
            </m:e>
          </m:nary>
          <m:sSup>
            <m:e>
              <m:r>
                <m:t>Y</m:t>
              </m:r>
            </m:e>
            <m:sup>
              <m:r>
                <m:t>1</m:t>
              </m:r>
              <m:r>
                <m:rPr>
                  <m:sty m:val="p"/>
                </m:rPr>
                <m:t>−</m:t>
              </m:r>
              <m:r>
                <m:t>i</m:t>
              </m:r>
            </m:sup>
          </m:sSup>
        </m:oMath>
      </m:oMathPara>
    </w:p>
    <w:bookmarkEnd w:id="18"/>
    <w:bookmarkStart w:id="19" w:name="table-for-mathematic-operations"/>
    <w:p>
      <w:pPr>
        <w:pStyle w:val="Heading2"/>
      </w:pPr>
      <w:r>
        <w:t xml:space="preserve">Table for mathematic operations</w:t>
      </w:r>
    </w:p>
    <w:p>
      <w:pPr>
        <w:pStyle w:val="TableCaption"/>
      </w:pPr>
      <w:r>
        <w:t xml:space="preserve">LaTeX Math Operators</w:t>
      </w:r>
    </w:p>
    <w:tbl>
      <w:tblPr>
        <w:tblStyle w:val="Table"/>
        <w:tblW w:type="auto" w:w="0"/>
        <w:tblLook w:firstRow="1" w:lastRow="0" w:firstColumn="0" w:lastColumn="0" w:noHBand="0" w:noVBand="0" w:val="0020"/>
        <w:tblCaption w:val="LaTeX Math Operators"/>
      </w:tblPr>
      <w:tblGrid>
        <w:gridCol w:w="3960"/>
        <w:gridCol w:w="3960"/>
      </w:tblGrid>
      <w:tr>
        <w:trPr>
          <w:tblHeader w:val="on"/>
        </w:trPr>
        <w:tc>
          <w:tcPr/>
          <w:p>
            <w:pPr>
              <w:pStyle w:val="Compact"/>
            </w:pPr>
            <w:r>
              <w:t xml:space="preserve">Operation</w:t>
            </w:r>
          </w:p>
        </w:tc>
        <w:tc>
          <w:tcPr/>
          <w:p>
            <w:pPr>
              <w:pStyle w:val="Compact"/>
              <w:jc w:val="left"/>
            </w:pPr>
            <w:r>
              <w:t xml:space="preserve">Latex Expression</w:t>
            </w:r>
          </w:p>
        </w:tc>
      </w:tr>
      <w:tr>
        <w:tc>
          <w:tcPr/>
          <w:p>
            <w:pPr>
              <w:pStyle w:val="Compact"/>
            </w:pPr>
            <m:oMath>
              <m:r>
                <m:rPr>
                  <m:sty m:val="p"/>
                </m:rPr>
                <m:t>×</m:t>
              </m:r>
            </m:oMath>
            <w:r>
              <w:t xml:space="preserve">​</w:t>
            </w:r>
          </w:p>
        </w:tc>
        <w:tc>
          <w:tcPr/>
          <w:p>
            <w:pPr>
              <w:pStyle w:val="Compact"/>
              <w:jc w:val="left"/>
            </w:pPr>
            <w:r>
              <w:rPr>
                <w:rStyle w:val="VerbatimChar"/>
              </w:rPr>
              <w:t xml:space="preserve">" \times "</w:t>
            </w:r>
          </w:p>
        </w:tc>
      </w:tr>
      <w:tr>
        <w:tc>
          <w:tcPr/>
          <w:p>
            <w:pPr>
              <w:pStyle w:val="Compact"/>
            </w:pPr>
            <m:oMath>
              <m:r>
                <m:rPr>
                  <m:sty m:val="p"/>
                </m:rPr>
                <m:t>÷</m:t>
              </m:r>
            </m:oMath>
            <w:r>
              <w:t xml:space="preserve">​</w:t>
            </w:r>
          </w:p>
        </w:tc>
        <w:tc>
          <w:tcPr/>
          <w:p>
            <w:pPr>
              <w:pStyle w:val="Compact"/>
              <w:jc w:val="left"/>
            </w:pPr>
            <w:r>
              <w:rPr>
                <w:rStyle w:val="VerbatimChar"/>
              </w:rPr>
              <w:t xml:space="preserve">" \div "</w:t>
            </w:r>
          </w:p>
        </w:tc>
      </w:tr>
      <w:tr>
        <w:tc>
          <w:tcPr/>
          <w:p>
            <w:pPr>
              <w:pStyle w:val="Compact"/>
            </w:pPr>
            <m:oMath>
              <m:r>
                <m:rPr>
                  <m:sty m:val="p"/>
                </m:rPr>
                <m:t>≤</m:t>
              </m:r>
            </m:oMath>
            <w:r>
              <w:t xml:space="preserve">​</w:t>
            </w:r>
          </w:p>
        </w:tc>
        <w:tc>
          <w:tcPr/>
          <w:p>
            <w:pPr>
              <w:pStyle w:val="Compact"/>
              <w:jc w:val="left"/>
            </w:pPr>
            <w:r>
              <w:rPr>
                <w:rStyle w:val="VerbatimChar"/>
              </w:rPr>
              <w:t xml:space="preserve">" \leq "</w:t>
            </w:r>
          </w:p>
        </w:tc>
      </w:tr>
      <w:tr>
        <w:tc>
          <w:tcPr/>
          <w:p>
            <w:pPr>
              <w:pStyle w:val="Compact"/>
            </w:pPr>
            <m:oMath>
              <m:r>
                <m:rPr>
                  <m:sty m:val="p"/>
                </m:rPr>
                <m:t>≥</m:t>
              </m:r>
            </m:oMath>
            <w:r>
              <w:t xml:space="preserve">​</w:t>
            </w:r>
          </w:p>
        </w:tc>
        <w:tc>
          <w:tcPr/>
          <w:p>
            <w:pPr>
              <w:pStyle w:val="Compact"/>
              <w:jc w:val="left"/>
            </w:pPr>
            <w:r>
              <w:rPr>
                <w:rStyle w:val="VerbatimChar"/>
              </w:rPr>
              <w:t xml:space="preserve">" \geq "</w:t>
            </w:r>
          </w:p>
        </w:tc>
      </w:tr>
      <w:tr>
        <w:tc>
          <w:tcPr/>
          <w:p>
            <w:pPr>
              <w:pStyle w:val="Compact"/>
            </w:pPr>
            <m:oMath>
              <m:r>
                <m:rPr>
                  <m:sty m:val="p"/>
                </m:rPr>
                <m:t>≈</m:t>
              </m:r>
            </m:oMath>
            <w:r>
              <w:t xml:space="preserve">​</w:t>
            </w:r>
          </w:p>
        </w:tc>
        <w:tc>
          <w:tcPr/>
          <w:p>
            <w:pPr>
              <w:pStyle w:val="Compact"/>
              <w:jc w:val="left"/>
            </w:pPr>
            <w:r>
              <w:rPr>
                <w:rStyle w:val="VerbatimChar"/>
              </w:rPr>
              <w:t xml:space="preserve">" \approx "</w:t>
            </w:r>
          </w:p>
        </w:tc>
      </w:tr>
      <w:tr>
        <w:tc>
          <w:tcPr/>
          <w:p>
            <w:pPr>
              <w:pStyle w:val="Compact"/>
            </w:pPr>
            <m:oMath>
              <m:r>
                <m:rPr>
                  <m:sty m:val="p"/>
                </m:rPr>
                <m:t>≡</m:t>
              </m:r>
            </m:oMath>
            <w:r>
              <w:t xml:space="preserve">​</w:t>
            </w:r>
          </w:p>
        </w:tc>
        <w:tc>
          <w:tcPr/>
          <w:p>
            <w:pPr>
              <w:pStyle w:val="Compact"/>
              <w:jc w:val="left"/>
            </w:pPr>
            <w:r>
              <w:rPr>
                <w:rStyle w:val="VerbatimChar"/>
              </w:rPr>
              <w:t xml:space="preserve">" \equiv "</w:t>
            </w:r>
          </w:p>
        </w:tc>
      </w:tr>
      <w:tr>
        <w:tc>
          <w:tcPr/>
          <w:p>
            <w:pPr>
              <w:pStyle w:val="Compact"/>
            </w:pPr>
            <m:oMath>
              <m:r>
                <m:rPr>
                  <m:sty m:val="p"/>
                </m:rPr>
                <m:t>∩</m:t>
              </m:r>
            </m:oMath>
            <w:r>
              <w:t xml:space="preserve">​</w:t>
            </w:r>
          </w:p>
        </w:tc>
        <w:tc>
          <w:tcPr/>
          <w:p>
            <w:pPr>
              <w:pStyle w:val="Compact"/>
              <w:jc w:val="left"/>
            </w:pPr>
            <w:r>
              <w:rPr>
                <w:rStyle w:val="VerbatimChar"/>
              </w:rPr>
              <w:t xml:space="preserve">" \cap "</w:t>
            </w:r>
          </w:p>
        </w:tc>
      </w:tr>
      <w:tr>
        <w:tc>
          <w:tcPr/>
          <w:p>
            <w:pPr>
              <w:pStyle w:val="Compact"/>
            </w:pPr>
            <m:oMath>
              <m:r>
                <m:rPr>
                  <m:sty m:val="p"/>
                </m:rPr>
                <m:t>∪</m:t>
              </m:r>
            </m:oMath>
            <w:r>
              <w:t xml:space="preserve">​</w:t>
            </w:r>
          </w:p>
        </w:tc>
        <w:tc>
          <w:tcPr/>
          <w:p>
            <w:pPr>
              <w:pStyle w:val="Compact"/>
              <w:jc w:val="left"/>
            </w:pPr>
            <w:r>
              <w:rPr>
                <w:rStyle w:val="VerbatimChar"/>
              </w:rPr>
              <w:t xml:space="preserve">" \cup "</w:t>
            </w:r>
          </w:p>
        </w:tc>
      </w:tr>
    </w:tbl>
    <w:bookmarkEnd w:id="19"/>
    <w:bookmarkEnd w:id="20"/>
    <w:bookmarkStart w:id="25" w:name="additional-resources-and-tutorial"/>
    <w:p>
      <w:pPr>
        <w:pStyle w:val="Heading1"/>
      </w:pPr>
      <w:r>
        <w:t xml:space="preserve">Additional Resources and Tutorial</w:t>
      </w:r>
    </w:p>
    <w:p>
      <w:pPr>
        <w:pStyle w:val="FirstParagraph"/>
      </w:pPr>
      <w:r>
        <w:t xml:space="preserve">Here is a beginner friendly online tutorial for LaTeX:</w:t>
      </w:r>
      <w:r>
        <w:br/>
      </w:r>
      <w:hyperlink r:id="rId21">
        <w:r>
          <w:rPr>
            <w:rStyle w:val="Hyperlink"/>
          </w:rPr>
          <w:t xml:space="preserve">https://www.learnlatex.org/en/</w:t>
        </w:r>
      </w:hyperlink>
    </w:p>
    <w:p>
      <w:pPr>
        <w:pStyle w:val="BodyText"/>
      </w:pPr>
      <w:r>
        <w:t xml:space="preserve">Follow this link for a more specific introduction of different classes and their features.</w:t>
      </w:r>
      <w:r>
        <w:t xml:space="preserve"> </w:t>
      </w:r>
      <w:hyperlink r:id="rId22">
        <w:r>
          <w:rPr>
            <w:rStyle w:val="Hyperlink"/>
          </w:rPr>
          <w:t xml:space="preserve">https://en.wikibooks.org/wiki/LaTeX/Document_Structure</w:t>
        </w:r>
      </w:hyperlink>
    </w:p>
    <w:p>
      <w:pPr>
        <w:pStyle w:val="BodyText"/>
      </w:pPr>
      <w:r>
        <w:t xml:space="preserve">Short Form Latex tutorial video:</w:t>
      </w:r>
      <w:r>
        <w:t xml:space="preserve"> </w:t>
      </w:r>
      <w:hyperlink r:id="rId23">
        <w:r>
          <w:rPr>
            <w:rStyle w:val="Hyperlink"/>
          </w:rPr>
          <w:t xml:space="preserve">https://youtu.be/lgiCpA4zzGU?si=zzA8fN7TrTnWsw02</w:t>
        </w:r>
      </w:hyperlink>
      <w:r>
        <w:t xml:space="preserve"> </w:t>
      </w:r>
      <w:r>
        <w:t xml:space="preserve">Longform Latex tutorial video, starts in the Overleaf browser, then moves to offline application:</w:t>
      </w:r>
      <w:r>
        <w:t xml:space="preserve"> </w:t>
      </w:r>
      <w:hyperlink r:id="rId24">
        <w:r>
          <w:rPr>
            <w:rStyle w:val="Hyperlink"/>
          </w:rPr>
          <w:t xml:space="preserve">https://youtu.be/ydOTMQC7np0?si=oFs66SgbMDxW68f2</w:t>
        </w:r>
      </w:hyperlink>
    </w:p>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2" Target="https://en.wikibooks.org/wiki/LaTeX/Document_Structure" TargetMode="External" /><Relationship Type="http://schemas.openxmlformats.org/officeDocument/2006/relationships/hyperlink" Id="rId9" Target="https://www.latex-project.org/get/" TargetMode="External" /><Relationship Type="http://schemas.openxmlformats.org/officeDocument/2006/relationships/hyperlink" Id="rId21" Target="https://www.learnlatex.org/en/" TargetMode="External" /><Relationship Type="http://schemas.openxmlformats.org/officeDocument/2006/relationships/hyperlink" Id="rId23" Target="https://youtu.be/lgiCpA4zzGU?si=zzA8fN7TrTnWsw02" TargetMode="External" /><Relationship Type="http://schemas.openxmlformats.org/officeDocument/2006/relationships/hyperlink" Id="rId24" Target="https://youtu.be/ydOTMQC7np0?si=oFs66SgbMDxW68f2" TargetMode="External" /></Relationships>
</file>

<file path=word/_rels/footnotes.xml.rels><?xml version="1.0" encoding="UTF-8"?><Relationships xmlns="http://schemas.openxmlformats.org/package/2006/relationships"><Relationship Type="http://schemas.openxmlformats.org/officeDocument/2006/relationships/hyperlink" Id="rId22" Target="https://en.wikibooks.org/wiki/LaTeX/Document_Structure" TargetMode="External" /><Relationship Type="http://schemas.openxmlformats.org/officeDocument/2006/relationships/hyperlink" Id="rId9" Target="https://www.latex-project.org/get/" TargetMode="External" /><Relationship Type="http://schemas.openxmlformats.org/officeDocument/2006/relationships/hyperlink" Id="rId21" Target="https://www.learnlatex.org/en/" TargetMode="External" /><Relationship Type="http://schemas.openxmlformats.org/officeDocument/2006/relationships/hyperlink" Id="rId23" Target="https://youtu.be/lgiCpA4zzGU?si=zzA8fN7TrTnWsw02" TargetMode="External" /><Relationship Type="http://schemas.openxmlformats.org/officeDocument/2006/relationships/hyperlink" Id="rId24" Target="https://youtu.be/ydOTMQC7np0?si=oFs66SgbMDxW68f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LaTeX</dc:title>
  <dc:creator/>
  <cp:keywords/>
  <dcterms:created xsi:type="dcterms:W3CDTF">2026-08-21T02:16:24Z</dcterms:created>
  <dcterms:modified xsi:type="dcterms:W3CDTF">2026-08-21T02:16:24Z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xtensions">
    <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labels">
    <vt:lpwstr/>
  </property>
  <property fmtid="{D5CDD505-2E9C-101B-9397-08002B2CF9AE}" pid="8" name="toc-title">
    <vt:lpwstr>Table of contents</vt:lpwstr>
  </property>
</Properties>
</file>